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48A" w:rsidRPr="00F67701" w:rsidRDefault="008D248A" w:rsidP="00F67701">
      <w:pPr>
        <w:spacing w:after="0"/>
        <w:rPr>
          <w:sz w:val="26"/>
          <w:szCs w:val="26"/>
          <w:u w:val="single"/>
        </w:rPr>
      </w:pPr>
      <w:r w:rsidRPr="00F67701">
        <w:rPr>
          <w:sz w:val="26"/>
          <w:szCs w:val="26"/>
          <w:u w:val="single"/>
        </w:rPr>
        <w:t xml:space="preserve">Preludium/ inngangsmusikk </w:t>
      </w:r>
    </w:p>
    <w:p w:rsidR="008D248A" w:rsidRPr="00F67701" w:rsidRDefault="008D248A" w:rsidP="00F67701">
      <w:pPr>
        <w:spacing w:after="0"/>
        <w:rPr>
          <w:i/>
          <w:iCs/>
          <w:sz w:val="26"/>
          <w:szCs w:val="26"/>
        </w:rPr>
      </w:pPr>
      <w:r w:rsidRPr="00F67701">
        <w:rPr>
          <w:i/>
          <w:iCs/>
          <w:sz w:val="26"/>
          <w:szCs w:val="26"/>
        </w:rPr>
        <w:t>Det finnes mange måter å gå inn i kirka på. Brudeparet kan gå inn sammen, brud kan følges inn av brudens far eller noen annen. Noen vil også ha brudepiker/brudesvenner</w:t>
      </w:r>
      <w:r w:rsidR="00F67701" w:rsidRPr="00F67701">
        <w:rPr>
          <w:i/>
          <w:iCs/>
          <w:sz w:val="26"/>
          <w:szCs w:val="26"/>
        </w:rPr>
        <w:t xml:space="preserve">, dette er det også rom for. </w:t>
      </w:r>
    </w:p>
    <w:p w:rsidR="00F67701" w:rsidRDefault="00F67701" w:rsidP="008D248A">
      <w:pPr>
        <w:rPr>
          <w:sz w:val="26"/>
          <w:szCs w:val="26"/>
        </w:rPr>
      </w:pPr>
    </w:p>
    <w:p w:rsidR="008D248A" w:rsidRDefault="008D248A" w:rsidP="008D248A">
      <w:pPr>
        <w:rPr>
          <w:sz w:val="26"/>
          <w:szCs w:val="26"/>
          <w:u w:val="single"/>
        </w:rPr>
      </w:pPr>
      <w:r w:rsidRPr="00F67701">
        <w:rPr>
          <w:sz w:val="26"/>
          <w:szCs w:val="26"/>
          <w:u w:val="single"/>
        </w:rPr>
        <w:t>Inngangsord</w:t>
      </w:r>
    </w:p>
    <w:p w:rsidR="00F67701" w:rsidRPr="00F67701" w:rsidRDefault="00F67701" w:rsidP="008D248A">
      <w:pPr>
        <w:rPr>
          <w:sz w:val="26"/>
          <w:szCs w:val="26"/>
          <w:u w:val="single"/>
        </w:rPr>
      </w:pPr>
    </w:p>
    <w:p w:rsidR="008D248A" w:rsidRPr="00F67701" w:rsidRDefault="008D248A" w:rsidP="00F67701">
      <w:pPr>
        <w:spacing w:after="0"/>
        <w:rPr>
          <w:sz w:val="26"/>
          <w:szCs w:val="26"/>
          <w:u w:val="single"/>
        </w:rPr>
      </w:pPr>
      <w:r w:rsidRPr="00F67701">
        <w:rPr>
          <w:sz w:val="26"/>
          <w:szCs w:val="26"/>
          <w:u w:val="single"/>
        </w:rPr>
        <w:t xml:space="preserve">Salme </w:t>
      </w:r>
    </w:p>
    <w:p w:rsidR="00F67701" w:rsidRPr="00F67701" w:rsidRDefault="00F67701" w:rsidP="00F67701">
      <w:pPr>
        <w:spacing w:after="0"/>
        <w:rPr>
          <w:i/>
          <w:iCs/>
          <w:sz w:val="26"/>
          <w:szCs w:val="26"/>
        </w:rPr>
      </w:pPr>
      <w:r w:rsidRPr="00F67701">
        <w:rPr>
          <w:i/>
          <w:iCs/>
          <w:sz w:val="26"/>
          <w:szCs w:val="26"/>
        </w:rPr>
        <w:t>Forslag til salmer finner du også på nettsiden vår</w:t>
      </w:r>
    </w:p>
    <w:p w:rsidR="00F67701" w:rsidRPr="00F67701" w:rsidRDefault="00F67701" w:rsidP="008D248A">
      <w:pPr>
        <w:rPr>
          <w:sz w:val="26"/>
          <w:szCs w:val="26"/>
        </w:rPr>
      </w:pPr>
    </w:p>
    <w:p w:rsidR="008D248A" w:rsidRPr="00F67701" w:rsidRDefault="008D248A" w:rsidP="00F67701">
      <w:pPr>
        <w:spacing w:after="0"/>
        <w:rPr>
          <w:sz w:val="26"/>
          <w:szCs w:val="26"/>
          <w:u w:val="single"/>
        </w:rPr>
      </w:pPr>
      <w:r w:rsidRPr="00F67701">
        <w:rPr>
          <w:sz w:val="26"/>
          <w:szCs w:val="26"/>
          <w:u w:val="single"/>
        </w:rPr>
        <w:t xml:space="preserve">Skriftlesing </w:t>
      </w:r>
    </w:p>
    <w:p w:rsidR="00F67701" w:rsidRPr="00F67701" w:rsidRDefault="00F67701" w:rsidP="00F67701">
      <w:pPr>
        <w:spacing w:after="0"/>
        <w:rPr>
          <w:i/>
          <w:iCs/>
          <w:sz w:val="26"/>
          <w:szCs w:val="26"/>
        </w:rPr>
      </w:pPr>
      <w:r w:rsidRPr="00F67701">
        <w:rPr>
          <w:i/>
          <w:iCs/>
          <w:sz w:val="26"/>
          <w:szCs w:val="26"/>
        </w:rPr>
        <w:t xml:space="preserve">Dere som brudepar kan få være med å velge noen av tekstene som skal leses her. I tillegg er det fint om noen fra følget vil lese en eller flere tekster. </w:t>
      </w:r>
    </w:p>
    <w:p w:rsidR="00F67701" w:rsidRPr="00F67701" w:rsidRDefault="00F67701" w:rsidP="008D248A">
      <w:pPr>
        <w:rPr>
          <w:i/>
          <w:iCs/>
          <w:sz w:val="26"/>
          <w:szCs w:val="26"/>
        </w:rPr>
      </w:pPr>
    </w:p>
    <w:p w:rsidR="008D248A" w:rsidRPr="00F67701" w:rsidRDefault="008D248A" w:rsidP="00F67701">
      <w:pPr>
        <w:spacing w:after="0"/>
        <w:rPr>
          <w:sz w:val="26"/>
          <w:szCs w:val="26"/>
          <w:u w:val="single"/>
        </w:rPr>
      </w:pPr>
      <w:r w:rsidRPr="00F67701">
        <w:rPr>
          <w:sz w:val="26"/>
          <w:szCs w:val="26"/>
          <w:u w:val="single"/>
        </w:rPr>
        <w:t xml:space="preserve">Salme eller soloinnslag </w:t>
      </w:r>
    </w:p>
    <w:p w:rsidR="00F67701" w:rsidRPr="00F67701" w:rsidRDefault="00F67701" w:rsidP="00F67701">
      <w:pPr>
        <w:spacing w:after="0"/>
        <w:rPr>
          <w:i/>
          <w:iCs/>
          <w:sz w:val="26"/>
          <w:szCs w:val="26"/>
        </w:rPr>
      </w:pPr>
      <w:r w:rsidRPr="00F67701">
        <w:rPr>
          <w:i/>
          <w:iCs/>
          <w:sz w:val="26"/>
          <w:szCs w:val="26"/>
        </w:rPr>
        <w:t xml:space="preserve">Ta kontakt med kantor om det er spørsmål. Kantorene kan være behjelpelig med å spille til eventuelle solister. </w:t>
      </w:r>
    </w:p>
    <w:p w:rsidR="00F67701" w:rsidRPr="00F67701" w:rsidRDefault="00F67701" w:rsidP="00F67701">
      <w:pPr>
        <w:spacing w:after="0"/>
        <w:rPr>
          <w:i/>
          <w:iCs/>
          <w:sz w:val="26"/>
          <w:szCs w:val="26"/>
        </w:rPr>
      </w:pPr>
    </w:p>
    <w:p w:rsidR="008D248A" w:rsidRPr="00F67701" w:rsidRDefault="008D248A" w:rsidP="008D248A">
      <w:pPr>
        <w:rPr>
          <w:sz w:val="26"/>
          <w:szCs w:val="26"/>
          <w:u w:val="single"/>
        </w:rPr>
      </w:pPr>
      <w:r w:rsidRPr="00F67701">
        <w:rPr>
          <w:sz w:val="26"/>
          <w:szCs w:val="26"/>
          <w:u w:val="single"/>
        </w:rPr>
        <w:t>Tale</w:t>
      </w:r>
    </w:p>
    <w:p w:rsidR="00F67701" w:rsidRPr="00F67701" w:rsidRDefault="00F67701" w:rsidP="008D248A">
      <w:pPr>
        <w:rPr>
          <w:sz w:val="26"/>
          <w:szCs w:val="26"/>
        </w:rPr>
      </w:pPr>
    </w:p>
    <w:p w:rsidR="008D248A" w:rsidRPr="00F67701" w:rsidRDefault="008D248A" w:rsidP="00F67701">
      <w:pPr>
        <w:spacing w:after="0"/>
        <w:rPr>
          <w:sz w:val="26"/>
          <w:szCs w:val="26"/>
          <w:u w:val="single"/>
        </w:rPr>
      </w:pPr>
      <w:r w:rsidRPr="00F67701">
        <w:rPr>
          <w:sz w:val="26"/>
          <w:szCs w:val="26"/>
          <w:u w:val="single"/>
        </w:rPr>
        <w:t>Ekteskapsinngåelse</w:t>
      </w:r>
    </w:p>
    <w:p w:rsidR="00F67701" w:rsidRDefault="00F67701" w:rsidP="00F67701">
      <w:pPr>
        <w:spacing w:after="0"/>
        <w:rPr>
          <w:i/>
          <w:iCs/>
          <w:sz w:val="26"/>
          <w:szCs w:val="26"/>
        </w:rPr>
      </w:pPr>
      <w:r w:rsidRPr="00F67701">
        <w:rPr>
          <w:i/>
          <w:iCs/>
          <w:sz w:val="26"/>
          <w:szCs w:val="26"/>
        </w:rPr>
        <w:t>Brudeparet kan velge mellom to ulike måter å avlegge ekteskapsløfte på. Den tradisjonelle måten er at presten stiller to spørsmål til hver av brudefolkene og dere svarer så ja. Den andre måten er at brudefolkene selv fremsier ekteskapsløftene ved å gjenta etter presten: "Jeg tar deg, NN, til min ektefelle. Jeg vil elske og ære deg, og bli trofast hos deg i gode og onde dager inntil døden skiller oss".</w:t>
      </w:r>
    </w:p>
    <w:p w:rsidR="00F67701" w:rsidRPr="00F67701" w:rsidRDefault="00F67701" w:rsidP="00F67701">
      <w:pPr>
        <w:spacing w:after="0"/>
        <w:rPr>
          <w:i/>
          <w:iCs/>
          <w:sz w:val="26"/>
          <w:szCs w:val="26"/>
        </w:rPr>
      </w:pPr>
    </w:p>
    <w:p w:rsidR="008D248A" w:rsidRDefault="008D248A" w:rsidP="00F67701">
      <w:pPr>
        <w:spacing w:after="0"/>
        <w:rPr>
          <w:sz w:val="26"/>
          <w:szCs w:val="26"/>
          <w:u w:val="single"/>
        </w:rPr>
      </w:pPr>
      <w:r w:rsidRPr="00F67701">
        <w:rPr>
          <w:sz w:val="26"/>
          <w:szCs w:val="26"/>
          <w:u w:val="single"/>
        </w:rPr>
        <w:t>Overrekkelse av ringer (dette er valgfritt)</w:t>
      </w:r>
    </w:p>
    <w:p w:rsidR="00F67701" w:rsidRPr="00F67701" w:rsidRDefault="00F67701" w:rsidP="00F67701">
      <w:pPr>
        <w:spacing w:after="0"/>
        <w:rPr>
          <w:i/>
          <w:iCs/>
          <w:sz w:val="26"/>
          <w:szCs w:val="26"/>
        </w:rPr>
      </w:pPr>
      <w:r w:rsidRPr="00F67701">
        <w:rPr>
          <w:i/>
          <w:iCs/>
          <w:sz w:val="26"/>
          <w:szCs w:val="26"/>
        </w:rPr>
        <w:t>Det er mulig for brudeparet å gi hverandre ringer under bryllupet i kirka. Da skjer overrekkelsen etter at presten har sagt: ”Gi nå hverandre ringene, som dere skal bære til tegn på løftet om troskap”. Alternativt kan brud og brudgom gjenta følgende etter presten: "NN, jeg gir deg denne ring som et tegn på mitt løfte om kjærlighet og troskap".</w:t>
      </w:r>
    </w:p>
    <w:p w:rsidR="00F67701" w:rsidRDefault="00F67701" w:rsidP="008D248A">
      <w:pPr>
        <w:rPr>
          <w:sz w:val="26"/>
          <w:szCs w:val="26"/>
          <w:u w:val="single"/>
        </w:rPr>
      </w:pPr>
    </w:p>
    <w:p w:rsidR="00F67701" w:rsidRDefault="008D248A" w:rsidP="00F67701">
      <w:pPr>
        <w:spacing w:after="0"/>
        <w:rPr>
          <w:sz w:val="26"/>
          <w:szCs w:val="26"/>
          <w:u w:val="single"/>
        </w:rPr>
      </w:pPr>
      <w:r w:rsidRPr="00F67701">
        <w:rPr>
          <w:sz w:val="26"/>
          <w:szCs w:val="26"/>
          <w:u w:val="single"/>
        </w:rPr>
        <w:t>Forbønn</w:t>
      </w:r>
      <w:r w:rsidR="00F67701" w:rsidRPr="00F67701">
        <w:rPr>
          <w:sz w:val="26"/>
          <w:szCs w:val="26"/>
          <w:u w:val="single"/>
        </w:rPr>
        <w:t xml:space="preserve"> </w:t>
      </w:r>
    </w:p>
    <w:p w:rsidR="00F67701" w:rsidRPr="00F67701" w:rsidRDefault="00F67701" w:rsidP="00F67701">
      <w:pPr>
        <w:spacing w:after="0"/>
        <w:rPr>
          <w:i/>
          <w:iCs/>
          <w:sz w:val="26"/>
          <w:szCs w:val="26"/>
        </w:rPr>
      </w:pPr>
      <w:r w:rsidRPr="00F67701">
        <w:rPr>
          <w:i/>
          <w:iCs/>
          <w:sz w:val="26"/>
          <w:szCs w:val="26"/>
        </w:rPr>
        <w:t>Forbønnen kommer etter løfteavleggelsen. Brudeparet går fram til alterringen og kneler mens presten legger hånden på hodene deres. I tillegg til presten kan også noen av gjestene være med og be for brudeparet med håndspåleggelse. Det er mulig å velge mellom ulike bønner eller be en bønn som brudeparet selv har vært med på å utforme. Etter forbønnen ber alle bønnen Vår Far i himmelen (Fader Vår).</w:t>
      </w:r>
    </w:p>
    <w:p w:rsidR="00F67701" w:rsidRPr="00F67701" w:rsidRDefault="00F67701" w:rsidP="008D248A">
      <w:pPr>
        <w:rPr>
          <w:sz w:val="26"/>
          <w:szCs w:val="26"/>
          <w:u w:val="single"/>
        </w:rPr>
      </w:pPr>
    </w:p>
    <w:p w:rsidR="008D248A" w:rsidRPr="00F67701" w:rsidRDefault="008D248A" w:rsidP="008D248A">
      <w:pPr>
        <w:rPr>
          <w:sz w:val="26"/>
          <w:szCs w:val="26"/>
          <w:u w:val="single"/>
        </w:rPr>
      </w:pPr>
      <w:r w:rsidRPr="00F67701">
        <w:rPr>
          <w:sz w:val="26"/>
          <w:szCs w:val="26"/>
          <w:u w:val="single"/>
        </w:rPr>
        <w:t>Soloinnslag</w:t>
      </w:r>
    </w:p>
    <w:p w:rsidR="008D248A" w:rsidRPr="00F67701" w:rsidRDefault="008D248A" w:rsidP="008D248A">
      <w:pPr>
        <w:rPr>
          <w:sz w:val="26"/>
          <w:szCs w:val="26"/>
          <w:u w:val="single"/>
        </w:rPr>
      </w:pPr>
      <w:r w:rsidRPr="00F67701">
        <w:rPr>
          <w:sz w:val="26"/>
          <w:szCs w:val="26"/>
          <w:u w:val="single"/>
        </w:rPr>
        <w:t>Salme</w:t>
      </w:r>
    </w:p>
    <w:p w:rsidR="00F67701" w:rsidRPr="00F67701" w:rsidRDefault="00F67701" w:rsidP="008D248A">
      <w:pPr>
        <w:rPr>
          <w:sz w:val="26"/>
          <w:szCs w:val="26"/>
          <w:u w:val="single"/>
        </w:rPr>
      </w:pPr>
    </w:p>
    <w:p w:rsidR="008D248A" w:rsidRPr="00F67701" w:rsidRDefault="008D248A" w:rsidP="008D248A">
      <w:pPr>
        <w:rPr>
          <w:sz w:val="26"/>
          <w:szCs w:val="26"/>
          <w:u w:val="single"/>
        </w:rPr>
      </w:pPr>
      <w:r w:rsidRPr="00F67701">
        <w:rPr>
          <w:sz w:val="26"/>
          <w:szCs w:val="26"/>
          <w:u w:val="single"/>
        </w:rPr>
        <w:t>Velsignelse</w:t>
      </w:r>
    </w:p>
    <w:p w:rsidR="00F67701" w:rsidRPr="00F67701" w:rsidRDefault="00F67701" w:rsidP="008D248A">
      <w:pPr>
        <w:rPr>
          <w:sz w:val="26"/>
          <w:szCs w:val="26"/>
          <w:u w:val="single"/>
        </w:rPr>
      </w:pPr>
    </w:p>
    <w:p w:rsidR="008D248A" w:rsidRDefault="008D248A" w:rsidP="008D248A">
      <w:pPr>
        <w:rPr>
          <w:sz w:val="26"/>
          <w:szCs w:val="26"/>
          <w:u w:val="single"/>
        </w:rPr>
      </w:pPr>
      <w:r w:rsidRPr="00F67701">
        <w:rPr>
          <w:sz w:val="26"/>
          <w:szCs w:val="26"/>
          <w:u w:val="single"/>
        </w:rPr>
        <w:lastRenderedPageBreak/>
        <w:t>Utgang</w:t>
      </w:r>
    </w:p>
    <w:p w:rsidR="00F67701" w:rsidRDefault="00F67701" w:rsidP="008D248A">
      <w:pPr>
        <w:rPr>
          <w:sz w:val="26"/>
          <w:szCs w:val="26"/>
          <w:u w:val="single"/>
        </w:rPr>
      </w:pPr>
    </w:p>
    <w:p w:rsidR="00F67701" w:rsidRDefault="00F67701" w:rsidP="008D248A">
      <w:pPr>
        <w:rPr>
          <w:sz w:val="26"/>
          <w:szCs w:val="26"/>
          <w:u w:val="single"/>
        </w:rPr>
      </w:pPr>
    </w:p>
    <w:p w:rsidR="00F67701" w:rsidRPr="00F67701" w:rsidRDefault="00F67701" w:rsidP="008D248A">
      <w:pPr>
        <w:rPr>
          <w:sz w:val="26"/>
          <w:szCs w:val="26"/>
          <w:u w:val="single"/>
        </w:rPr>
      </w:pPr>
      <w:r>
        <w:rPr>
          <w:noProof/>
          <w:sz w:val="26"/>
          <w:szCs w:val="26"/>
          <w:u w:val="single"/>
        </w:rPr>
        <w:drawing>
          <wp:anchor distT="0" distB="0" distL="114300" distR="114300" simplePos="0" relativeHeight="251658240" behindDoc="0" locked="0" layoutInCell="1" allowOverlap="1">
            <wp:simplePos x="0" y="0"/>
            <wp:positionH relativeFrom="margin">
              <wp:posOffset>645160</wp:posOffset>
            </wp:positionH>
            <wp:positionV relativeFrom="margin">
              <wp:posOffset>2269490</wp:posOffset>
            </wp:positionV>
            <wp:extent cx="5183814" cy="15811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54665_3981383.jp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183814" cy="1581150"/>
                    </a:xfrm>
                    <a:prstGeom prst="rect">
                      <a:avLst/>
                    </a:prstGeom>
                    <a:ln>
                      <a:noFill/>
                    </a:ln>
                    <a:effectLst>
                      <a:softEdge rad="112500"/>
                    </a:effectLst>
                  </pic:spPr>
                </pic:pic>
              </a:graphicData>
            </a:graphic>
          </wp:anchor>
        </w:drawing>
      </w:r>
    </w:p>
    <w:p w:rsidR="008D248A" w:rsidRPr="00F67701" w:rsidRDefault="008D248A" w:rsidP="008D248A">
      <w:pPr>
        <w:rPr>
          <w:sz w:val="26"/>
          <w:szCs w:val="26"/>
        </w:rPr>
      </w:pPr>
    </w:p>
    <w:p w:rsidR="008D248A" w:rsidRPr="00F67701" w:rsidRDefault="008D248A" w:rsidP="008D248A">
      <w:pPr>
        <w:rPr>
          <w:sz w:val="26"/>
          <w:szCs w:val="26"/>
        </w:rPr>
      </w:pPr>
    </w:p>
    <w:p w:rsidR="008D248A" w:rsidRDefault="008D248A" w:rsidP="008D248A">
      <w:pPr>
        <w:rPr>
          <w:sz w:val="28"/>
          <w:szCs w:val="28"/>
        </w:rPr>
      </w:pPr>
    </w:p>
    <w:p w:rsidR="008D248A" w:rsidRDefault="008D248A" w:rsidP="008D248A">
      <w:pPr>
        <w:rPr>
          <w:sz w:val="28"/>
          <w:szCs w:val="28"/>
        </w:rPr>
      </w:pPr>
    </w:p>
    <w:p w:rsidR="008D248A" w:rsidRDefault="008D248A" w:rsidP="008D248A">
      <w:pPr>
        <w:rPr>
          <w:sz w:val="28"/>
          <w:szCs w:val="28"/>
        </w:rPr>
      </w:pPr>
    </w:p>
    <w:p w:rsidR="00F67701" w:rsidRDefault="00F67701" w:rsidP="008D248A">
      <w:pPr>
        <w:rPr>
          <w:sz w:val="28"/>
          <w:szCs w:val="28"/>
        </w:rPr>
      </w:pPr>
    </w:p>
    <w:p w:rsidR="00F67701" w:rsidRPr="001978F0" w:rsidRDefault="00F67701" w:rsidP="008D248A">
      <w:pPr>
        <w:rPr>
          <w:sz w:val="26"/>
          <w:szCs w:val="26"/>
        </w:rPr>
      </w:pPr>
      <w:r w:rsidRPr="001978F0">
        <w:rPr>
          <w:sz w:val="26"/>
          <w:szCs w:val="26"/>
        </w:rPr>
        <w:t xml:space="preserve">Dere som brudepar har stor mulighet til å være med å forme deres seremoni. Det er viktig at planlegging skjer sammen med både prest og kantor. Slik kan vi finne de beste løsningene for deres dag. </w:t>
      </w:r>
    </w:p>
    <w:p w:rsidR="001978F0" w:rsidRDefault="001978F0" w:rsidP="008D248A">
      <w:pPr>
        <w:rPr>
          <w:sz w:val="28"/>
          <w:szCs w:val="28"/>
        </w:rPr>
      </w:pPr>
    </w:p>
    <w:p w:rsidR="001978F0" w:rsidRDefault="001978F0" w:rsidP="008D248A">
      <w:pPr>
        <w:rPr>
          <w:sz w:val="26"/>
          <w:szCs w:val="26"/>
        </w:rPr>
      </w:pPr>
      <w:r>
        <w:rPr>
          <w:sz w:val="26"/>
          <w:szCs w:val="26"/>
        </w:rPr>
        <w:t xml:space="preserve">Dere kan lage og trykke egne program til vielsen eller dere kan benytte salmebøker som finnes i alle kirkene.  </w:t>
      </w:r>
    </w:p>
    <w:p w:rsidR="001978F0" w:rsidRDefault="001978F0" w:rsidP="008D248A">
      <w:pPr>
        <w:rPr>
          <w:sz w:val="26"/>
          <w:szCs w:val="26"/>
        </w:rPr>
      </w:pPr>
    </w:p>
    <w:p w:rsidR="001978F0" w:rsidRPr="001978F0" w:rsidRDefault="001978F0" w:rsidP="008D248A">
      <w:pPr>
        <w:rPr>
          <w:sz w:val="26"/>
          <w:szCs w:val="26"/>
        </w:rPr>
      </w:pPr>
      <w:bookmarkStart w:id="0" w:name="_GoBack"/>
      <w:bookmarkEnd w:id="0"/>
    </w:p>
    <w:p w:rsidR="00F67701" w:rsidRPr="008D248A" w:rsidRDefault="00F67701" w:rsidP="008D248A">
      <w:pPr>
        <w:rPr>
          <w:sz w:val="28"/>
          <w:szCs w:val="28"/>
        </w:rPr>
      </w:pPr>
    </w:p>
    <w:sectPr w:rsidR="00F67701" w:rsidRPr="008D248A" w:rsidSect="00F677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8A"/>
    <w:rsid w:val="001978F0"/>
    <w:rsid w:val="00220DB6"/>
    <w:rsid w:val="00331848"/>
    <w:rsid w:val="008D248A"/>
    <w:rsid w:val="00F677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6EA9"/>
  <w15:chartTrackingRefBased/>
  <w15:docId w15:val="{B8967DC7-7320-4E15-8662-D3D3DE49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msos.kommune.no/borgerlig-vielse.440179.no.html"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348</Words>
  <Characters>1849</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Vang Pedersen</dc:creator>
  <cp:keywords/>
  <dc:description/>
  <cp:lastModifiedBy>Silje Vang Pedersen</cp:lastModifiedBy>
  <cp:revision>1</cp:revision>
  <dcterms:created xsi:type="dcterms:W3CDTF">2021-03-04T12:38:00Z</dcterms:created>
  <dcterms:modified xsi:type="dcterms:W3CDTF">2021-03-04T13:01:00Z</dcterms:modified>
</cp:coreProperties>
</file>